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34F2E" w:rsidRDefault="002D3698">
      <w:pPr>
        <w:ind w:firstLineChars="0" w:firstLine="0"/>
      </w:pPr>
      <w:r>
        <w:rPr>
          <w:rFonts w:asciiTheme="majorEastAsia" w:eastAsiaTheme="majorEastAsia" w:hAnsiTheme="majorEastAsia" w:hint="eastAsia"/>
        </w:rPr>
        <w:t>附件</w:t>
      </w:r>
      <w:r>
        <w:t>3</w:t>
      </w:r>
      <w:r>
        <w:rPr>
          <w:rFonts w:hint="eastAsia"/>
        </w:rPr>
        <w:t>：</w:t>
      </w:r>
    </w:p>
    <w:p w:rsidR="00D34F2E" w:rsidRDefault="00D34F2E">
      <w:pPr>
        <w:pStyle w:val="TOC3"/>
        <w:ind w:left="1280" w:firstLine="640"/>
      </w:pPr>
    </w:p>
    <w:p w:rsidR="00D34F2E" w:rsidRDefault="002D3698">
      <w:pPr>
        <w:pStyle w:val="1"/>
        <w:rPr>
          <w:sz w:val="40"/>
          <w:szCs w:val="40"/>
        </w:rPr>
      </w:pPr>
      <w:bookmarkStart w:id="0" w:name="_Hlk28939322"/>
      <w:r>
        <w:rPr>
          <w:rFonts w:hint="eastAsia"/>
          <w:sz w:val="40"/>
          <w:szCs w:val="40"/>
        </w:rPr>
        <w:t>上海市国资国企改革发展“十四五”规划研究</w:t>
      </w:r>
    </w:p>
    <w:p w:rsidR="00D34F2E" w:rsidRDefault="002D3698">
      <w:pPr>
        <w:pStyle w:val="1"/>
        <w:rPr>
          <w:sz w:val="40"/>
          <w:szCs w:val="40"/>
        </w:rPr>
      </w:pPr>
      <w:r>
        <w:rPr>
          <w:rFonts w:hint="eastAsia"/>
          <w:sz w:val="40"/>
          <w:szCs w:val="40"/>
        </w:rPr>
        <w:t>重点课题</w:t>
      </w:r>
      <w:bookmarkEnd w:id="0"/>
      <w:r>
        <w:rPr>
          <w:rFonts w:hint="eastAsia"/>
          <w:sz w:val="40"/>
          <w:szCs w:val="40"/>
        </w:rPr>
        <w:t>招标指南</w:t>
      </w:r>
    </w:p>
    <w:p w:rsidR="00D34F2E" w:rsidRDefault="002D3698">
      <w:pPr>
        <w:ind w:firstLine="640"/>
      </w:pPr>
      <w:r>
        <w:rPr>
          <w:rFonts w:hint="eastAsia"/>
        </w:rPr>
        <w:t xml:space="preserve">  </w:t>
      </w:r>
    </w:p>
    <w:p w:rsidR="00D34F2E" w:rsidRDefault="002D3698">
      <w:pPr>
        <w:pStyle w:val="2"/>
        <w:ind w:left="643" w:hanging="643"/>
      </w:pPr>
      <w:bookmarkStart w:id="1" w:name="_Hlk29719531"/>
      <w:r>
        <w:rPr>
          <w:rFonts w:hint="eastAsia"/>
        </w:rPr>
        <w:t>《“十四五”时期上海国资国企改革发展面临的国内外环境及中长期趋势研判》</w:t>
      </w:r>
    </w:p>
    <w:p w:rsidR="00D34F2E" w:rsidRDefault="002D3698">
      <w:pPr>
        <w:ind w:firstLine="640"/>
      </w:pPr>
      <w:r>
        <w:rPr>
          <w:rFonts w:hint="eastAsia"/>
        </w:rPr>
        <w:t>近年来，国际政治、经济、安全环境复杂多变，国内经济进入中低速增长阶段，产业动能亟待转变，特别是新</w:t>
      </w:r>
      <w:r>
        <w:t>冠病毒</w:t>
      </w:r>
      <w:r>
        <w:rPr>
          <w:rFonts w:hint="eastAsia"/>
        </w:rPr>
        <w:t>疫情的爆发，</w:t>
      </w:r>
      <w:r>
        <w:t>对</w:t>
      </w:r>
      <w:r>
        <w:rPr>
          <w:rFonts w:hint="eastAsia"/>
        </w:rPr>
        <w:t>中国</w:t>
      </w:r>
      <w:r>
        <w:t>经济</w:t>
      </w:r>
      <w:r>
        <w:rPr>
          <w:rFonts w:hint="eastAsia"/>
        </w:rPr>
        <w:t>和上海城市发展带来重大冲击，</w:t>
      </w:r>
      <w:r>
        <w:t>“</w:t>
      </w:r>
      <w:r>
        <w:rPr>
          <w:rFonts w:hint="eastAsia"/>
        </w:rPr>
        <w:t>十四五</w:t>
      </w:r>
      <w:r>
        <w:t>”</w:t>
      </w:r>
      <w:r>
        <w:rPr>
          <w:rFonts w:hint="eastAsia"/>
        </w:rPr>
        <w:t>期间国资国企改革发展面临的不确定性因素日益增多。本课题拟基于历史数据分析和前瞻性研究预判，全面分析未来五年国内外经济、科技、政策、社会文化等宏观环境变化趋势，系统梳理上海国资国企改革发展面临的主要机遇与关键挑战，提出对国资国企改革重大战略、核心政策、产业布局等关键事项的影响和预判，为“十四五”规划确定改革发展总基调提供有效输入</w:t>
      </w:r>
      <w:r>
        <w:t>。</w:t>
      </w:r>
    </w:p>
    <w:p w:rsidR="00D34F2E" w:rsidRDefault="002D3698">
      <w:pPr>
        <w:pStyle w:val="2"/>
        <w:ind w:left="643" w:hanging="643"/>
      </w:pPr>
      <w:r>
        <w:rPr>
          <w:rFonts w:hint="eastAsia"/>
        </w:rPr>
        <w:lastRenderedPageBreak/>
        <w:t>《上海市国有资本布局与产业结构优化研究》</w:t>
      </w:r>
    </w:p>
    <w:p w:rsidR="00D34F2E" w:rsidRDefault="002D3698">
      <w:pPr>
        <w:ind w:firstLine="640"/>
      </w:pPr>
      <w:r>
        <w:rPr>
          <w:rFonts w:hint="eastAsia"/>
        </w:rPr>
        <w:t>优化资本布局是国资国企改革的重要任务。市属国有企业要加快培育战略性新兴产业，改造提升传统优势产业，参与世界级先进制造业集群建设，在汽车、电</w:t>
      </w:r>
      <w:r>
        <w:rPr>
          <w:rFonts w:hint="eastAsia"/>
        </w:rPr>
        <w:t>子信息、民用航空、生物医药、高端装备、绿色化工等领域发挥主力军作用。本课题立足上海</w:t>
      </w:r>
      <w:r>
        <w:t>国资</w:t>
      </w:r>
      <w:r>
        <w:rPr>
          <w:rFonts w:hint="eastAsia"/>
        </w:rPr>
        <w:t>服务产业转型、服务城市高效运营的使命定位，全面分析市属国企产业布局演变历程、发展现状和自身资源禀赋特点，研究制定国有资本科学布局、有效配置的“产业地图”，推进国内外资源整合与集聚，构建契合上海打造</w:t>
      </w:r>
      <w:r>
        <w:t>全球卓越</w:t>
      </w:r>
      <w:r>
        <w:rPr>
          <w:rFonts w:hint="eastAsia"/>
        </w:rPr>
        <w:t>城市发展要求的产业集群。</w:t>
      </w:r>
    </w:p>
    <w:p w:rsidR="00D34F2E" w:rsidRDefault="002D3698">
      <w:pPr>
        <w:pStyle w:val="2"/>
        <w:ind w:left="643" w:hanging="643"/>
      </w:pPr>
      <w:r>
        <w:rPr>
          <w:rFonts w:hint="eastAsia"/>
        </w:rPr>
        <w:t>《市属国企“走出去”战略与风险管控研究》</w:t>
      </w:r>
    </w:p>
    <w:p w:rsidR="00D34F2E" w:rsidRDefault="002D3698">
      <w:pPr>
        <w:ind w:firstLine="640"/>
      </w:pPr>
      <w:r>
        <w:rPr>
          <w:rFonts w:hint="eastAsia"/>
        </w:rPr>
        <w:t>当前市属国企总体规模和发展质量已经走在地方国企前列，但在全球化布局和</w:t>
      </w:r>
      <w:r>
        <w:t>国际化战略</w:t>
      </w:r>
      <w:r>
        <w:rPr>
          <w:rFonts w:hint="eastAsia"/>
        </w:rPr>
        <w:t>方面，距离建设具有全球竞争力的世界一流企业还有一定</w:t>
      </w:r>
      <w:r>
        <w:t>差距</w:t>
      </w:r>
      <w:r>
        <w:rPr>
          <w:rFonts w:hint="eastAsia"/>
        </w:rPr>
        <w:t>。本课题拟充分借鉴知名</w:t>
      </w:r>
      <w:r>
        <w:t>跨国</w:t>
      </w:r>
      <w:r>
        <w:rPr>
          <w:rFonts w:hint="eastAsia"/>
        </w:rPr>
        <w:t>公司和优秀央企的国际化运作经验，结合市属国企自身优势和特点，对“走出去”的目的、方向、重点领域、方式形式、效果评估及主要风险因素及预警措施进行分析、识别和比选，设计提出市属国企“走出去”的战略路线图。</w:t>
      </w:r>
    </w:p>
    <w:p w:rsidR="00D34F2E" w:rsidRDefault="002D3698">
      <w:pPr>
        <w:pStyle w:val="2"/>
        <w:ind w:left="643" w:hanging="643"/>
      </w:pPr>
      <w:r>
        <w:rPr>
          <w:rFonts w:hint="eastAsia"/>
        </w:rPr>
        <w:lastRenderedPageBreak/>
        <w:t>《市属国企依托上市平台强化资本运作能力研究》</w:t>
      </w:r>
    </w:p>
    <w:p w:rsidR="00D34F2E" w:rsidRDefault="002D3698">
      <w:pPr>
        <w:ind w:firstLine="640"/>
      </w:pPr>
      <w:r>
        <w:rPr>
          <w:rFonts w:hint="eastAsia"/>
        </w:rPr>
        <w:t>推进国有企业整体上市或核心资产上市，是优化资本布局、提高资本回报的重要手段。本课题拟对市属国有控股上市公司的发展现状和资本运作案例进行深入分析，在对比借鉴国内外资本市场成功运作经验基础上，设计提出市属国企积极对接资本市场，充分利用上市平台</w:t>
      </w:r>
      <w:r>
        <w:t>，</w:t>
      </w:r>
      <w:r>
        <w:rPr>
          <w:rFonts w:hint="eastAsia"/>
        </w:rPr>
        <w:t>进一步加强资本运作能</w:t>
      </w:r>
      <w:r>
        <w:rPr>
          <w:rFonts w:hint="eastAsia"/>
        </w:rPr>
        <w:t>力的创新思路和对策举措。</w:t>
      </w:r>
    </w:p>
    <w:p w:rsidR="00D34F2E" w:rsidRDefault="002D3698">
      <w:pPr>
        <w:pStyle w:val="2"/>
        <w:ind w:left="643" w:hanging="643"/>
      </w:pPr>
      <w:r>
        <w:rPr>
          <w:rFonts w:hint="eastAsia"/>
        </w:rPr>
        <w:t>《市属国企“老品牌”转型升级路径与策略研究》</w:t>
      </w:r>
    </w:p>
    <w:p w:rsidR="00D34F2E" w:rsidRDefault="002D3698">
      <w:pPr>
        <w:ind w:firstLine="640"/>
      </w:pPr>
      <w:r>
        <w:rPr>
          <w:rFonts w:hint="eastAsia"/>
        </w:rPr>
        <w:t>品牌是企业核心竞争力和自主创新能力的标志，是企业知名度、美誉度的集中体现。为加强国有企业老品牌、老字号保护，规范品牌管理、推动品牌创新，本课题拟深入分析市属国企老品牌建设和管理现状，对比总结国内外知名企业在品牌管理及老字号保护方面的成功经验，分析市属国企老品牌建设和维护面临的问题与挑战，提出推进市属国企老品牌建设转型升级的创新路径与对策措施，切实维护市属国企良好形象，有效提升“老品牌”市场影响力和竞争力。</w:t>
      </w:r>
    </w:p>
    <w:p w:rsidR="00D34F2E" w:rsidRDefault="002D3698">
      <w:pPr>
        <w:pStyle w:val="2"/>
        <w:ind w:left="643" w:hanging="643"/>
      </w:pPr>
      <w:r>
        <w:rPr>
          <w:rFonts w:hint="eastAsia"/>
        </w:rPr>
        <w:t>《中国特色上海国有企业现代法人</w:t>
      </w:r>
      <w:r>
        <w:rPr>
          <w:rFonts w:hint="eastAsia"/>
        </w:rPr>
        <w:t>治理模式研究》</w:t>
      </w:r>
    </w:p>
    <w:p w:rsidR="00D34F2E" w:rsidRDefault="002D3698">
      <w:pPr>
        <w:ind w:firstLine="640"/>
      </w:pPr>
      <w:r>
        <w:rPr>
          <w:rFonts w:hint="eastAsia"/>
        </w:rPr>
        <w:t>本课题旨在系统梳理上海国有企业法人治理改革历程和成效经验，研究提出中国特色现代国有企业法人治理的概念内</w:t>
      </w:r>
      <w:r>
        <w:rPr>
          <w:rFonts w:hint="eastAsia"/>
        </w:rPr>
        <w:lastRenderedPageBreak/>
        <w:t>涵与主要特点，剖析加快推进规范有效的董事会建设重点与难点，厘清监事会监督和外部监督的协同互补作用，提出加强和改进党组织对企业领导班子的管理的操作建议。在此基础上，提炼形成体现中国特色、上海特点的国有企业现代法人治理结构和运行模式。</w:t>
      </w:r>
    </w:p>
    <w:p w:rsidR="00D34F2E" w:rsidRDefault="002D3698">
      <w:pPr>
        <w:pStyle w:val="2"/>
        <w:ind w:left="643" w:hanging="643"/>
      </w:pPr>
      <w:r>
        <w:rPr>
          <w:rFonts w:hint="eastAsia"/>
        </w:rPr>
        <w:t>《市属国企市场化薪酬改革与正向激励策略研究》</w:t>
      </w:r>
    </w:p>
    <w:p w:rsidR="00D34F2E" w:rsidRDefault="002D3698">
      <w:pPr>
        <w:ind w:firstLine="640"/>
      </w:pPr>
      <w:r>
        <w:rPr>
          <w:rFonts w:hint="eastAsia"/>
        </w:rPr>
        <w:t>改革薪酬制度、创新激励手段，是国有企业建立市场化经营机制，激发内生发展动力活力的核心举措。本课题通过分析市属国有企业</w:t>
      </w:r>
      <w:r>
        <w:rPr>
          <w:rFonts w:hint="eastAsia"/>
        </w:rPr>
        <w:t>工资总额制定实施情况、企业负责人薪酬制度改革情况、企业员工激励情况，对照最新政策要求，提出市属国企在推进市场化薪酬改革与正向激励方面存在的不足与面临的瓶颈，对比借鉴国内外先进经验，研究提出进一步深化市场化薪酬改革、用好用活用足正向激励政策的措施建议。</w:t>
      </w:r>
    </w:p>
    <w:p w:rsidR="00D34F2E" w:rsidRDefault="002D3698">
      <w:pPr>
        <w:pStyle w:val="2"/>
        <w:ind w:left="643" w:hanging="643"/>
      </w:pPr>
      <w:r>
        <w:rPr>
          <w:rFonts w:hint="eastAsia"/>
        </w:rPr>
        <w:t>《市属国企进一步深化混合所有制改革的推进路径研究》</w:t>
      </w:r>
    </w:p>
    <w:p w:rsidR="00D34F2E" w:rsidRDefault="002D3698">
      <w:pPr>
        <w:ind w:firstLine="640"/>
      </w:pPr>
      <w:r>
        <w:rPr>
          <w:rFonts w:hint="eastAsia"/>
        </w:rPr>
        <w:t>混合所有制改革是国企改革的重要突破口。本课题拟全面梳理市属国企推进混合所有制改革的进展成效与得失经验，对市属国企混改现状进行客观评估；结合</w:t>
      </w:r>
      <w:r>
        <w:t>上海国资国企</w:t>
      </w:r>
      <w:r>
        <w:rPr>
          <w:rFonts w:hint="eastAsia"/>
        </w:rPr>
        <w:t>功能定位与发展趋势</w:t>
      </w:r>
      <w:r>
        <w:t>，</w:t>
      </w:r>
      <w:r>
        <w:rPr>
          <w:rFonts w:hint="eastAsia"/>
        </w:rPr>
        <w:t>研究提出“十四五”期间进一步深化混合所</w:t>
      </w:r>
      <w:r>
        <w:rPr>
          <w:rFonts w:hint="eastAsia"/>
        </w:rPr>
        <w:t>有制改革</w:t>
      </w:r>
      <w:r>
        <w:t>的重点领域、</w:t>
      </w:r>
      <w:r>
        <w:rPr>
          <w:rFonts w:hint="eastAsia"/>
        </w:rPr>
        <w:t>推进路径、战投选择、混改企业党的建设及</w:t>
      </w:r>
      <w:r>
        <w:rPr>
          <w:rFonts w:hint="eastAsia"/>
        </w:rPr>
        <w:lastRenderedPageBreak/>
        <w:t>配套政策等改革措施。</w:t>
      </w:r>
    </w:p>
    <w:p w:rsidR="00D34F2E" w:rsidRDefault="002D3698">
      <w:pPr>
        <w:pStyle w:val="2"/>
        <w:ind w:left="643" w:hanging="643"/>
      </w:pPr>
      <w:r>
        <w:rPr>
          <w:rFonts w:hint="eastAsia"/>
        </w:rPr>
        <w:t>《市属国企服务引领“</w:t>
      </w:r>
      <w:r>
        <w:rPr>
          <w:rFonts w:hint="eastAsia"/>
        </w:rPr>
        <w:t>3+</w:t>
      </w:r>
      <w:r>
        <w:t>1</w:t>
      </w:r>
      <w:r>
        <w:rPr>
          <w:rFonts w:hint="eastAsia"/>
        </w:rPr>
        <w:t>”重大战略的创新思路与策略专项研究》</w:t>
      </w:r>
    </w:p>
    <w:p w:rsidR="00D34F2E" w:rsidRDefault="002D3698">
      <w:pPr>
        <w:ind w:firstLine="640"/>
      </w:pPr>
      <w:r>
        <w:rPr>
          <w:rFonts w:hint="eastAsia"/>
        </w:rPr>
        <w:t>上海自贸区新片区建设、科创板与注册制、长三角一体化发展是习近平总书记交给上海的三项重大任务，连同进博会平台搭建，形成上海新的“四大战略支撑”。本课题通过分析</w:t>
      </w:r>
      <w:r>
        <w:rPr>
          <w:rFonts w:hint="eastAsia"/>
        </w:rPr>
        <w:t>3+1</w:t>
      </w:r>
      <w:r>
        <w:rPr>
          <w:rFonts w:hint="eastAsia"/>
        </w:rPr>
        <w:t>重大战略部署，梳理市属国企对口服务“</w:t>
      </w:r>
      <w:r>
        <w:rPr>
          <w:rFonts w:hint="eastAsia"/>
        </w:rPr>
        <w:t>3+</w:t>
      </w:r>
      <w:r>
        <w:t>1</w:t>
      </w:r>
      <w:r>
        <w:rPr>
          <w:rFonts w:hint="eastAsia"/>
        </w:rPr>
        <w:t>”重大战略的资源能力与职责分工，借鉴国内外先进案例经验，找准市属国资国企推进“</w:t>
      </w:r>
      <w:r>
        <w:rPr>
          <w:rFonts w:hint="eastAsia"/>
        </w:rPr>
        <w:t>3+</w:t>
      </w:r>
      <w:r>
        <w:t>1</w:t>
      </w:r>
      <w:r>
        <w:rPr>
          <w:rFonts w:hint="eastAsia"/>
        </w:rPr>
        <w:t>”重大战略落实落地的切入点和发力点，研究提出创新性推进路径和突破性举措。</w:t>
      </w:r>
    </w:p>
    <w:p w:rsidR="00D34F2E" w:rsidRDefault="002D3698">
      <w:pPr>
        <w:pStyle w:val="2"/>
        <w:ind w:left="643" w:hanging="643"/>
      </w:pPr>
      <w:r>
        <w:rPr>
          <w:rFonts w:hint="eastAsia"/>
        </w:rPr>
        <w:t>《市属</w:t>
      </w:r>
      <w:r>
        <w:rPr>
          <w:rFonts w:hint="eastAsia"/>
        </w:rPr>
        <w:t>国企服务本市重点民生项目的创新思路与策略专项研究》</w:t>
      </w:r>
    </w:p>
    <w:p w:rsidR="00D34F2E" w:rsidRDefault="002D3698">
      <w:pPr>
        <w:ind w:firstLine="640"/>
      </w:pPr>
      <w:r>
        <w:rPr>
          <w:rFonts w:hint="eastAsia"/>
        </w:rPr>
        <w:t>做好民生保障、服务社会发展是国企义不容辞的责任。本课题拟深入分析上海建设卓越全球城市进程中对加大民生保障的战略要求，结合市属国企的功能定位与资源禀赋，研究提出市属国企积极服务城市更新、基建设施、公共交通、绿色环境、健康养老、文卫体旅等重点民生领域的创新</w:t>
      </w:r>
      <w:r>
        <w:t>思路与</w:t>
      </w:r>
      <w:r>
        <w:rPr>
          <w:rFonts w:hint="eastAsia"/>
        </w:rPr>
        <w:t>对策建议。</w:t>
      </w:r>
    </w:p>
    <w:p w:rsidR="00D34F2E" w:rsidRDefault="002D3698">
      <w:pPr>
        <w:pStyle w:val="2"/>
        <w:ind w:left="643" w:hanging="643"/>
      </w:pPr>
      <w:r>
        <w:rPr>
          <w:rFonts w:hint="eastAsia"/>
        </w:rPr>
        <w:lastRenderedPageBreak/>
        <w:t>《市属国企加大科技创新迈向产业链高端的创新思路与策略专项研究》</w:t>
      </w:r>
    </w:p>
    <w:p w:rsidR="00D34F2E" w:rsidRDefault="002D3698">
      <w:pPr>
        <w:ind w:firstLine="640"/>
      </w:pPr>
      <w:r>
        <w:rPr>
          <w:rFonts w:hint="eastAsia"/>
        </w:rPr>
        <w:t>国有企业是区域产业转型发展的引领者，也是创新技术和战略新兴产业的培育者。面向未来，上海市将基于自身的土地、人才、技术、资本等资源禀赋，加快发展生物医药、人工智能、新材料等战略新兴产业，提升国有企业在产业链中的位置和价值。本课题将系统分析上海市产业发展环境和产业结构特点，深入梳理上海市属国企在深化科技创新领域的优势条件与短板瓶颈，结合外部环境与典型案例对标，对市属国企加大科技研发投入、加快科技成果转换、加强科技应用推广等方面提出对策建议，推动市属国企创新转型升级。</w:t>
      </w:r>
    </w:p>
    <w:p w:rsidR="00D34F2E" w:rsidRDefault="002D3698">
      <w:pPr>
        <w:pStyle w:val="2"/>
        <w:ind w:left="643" w:hanging="643"/>
      </w:pPr>
      <w:r>
        <w:rPr>
          <w:rFonts w:hint="eastAsia"/>
        </w:rPr>
        <w:t>《国有企业抗击疫情提升应急响应能力的创新思路</w:t>
      </w:r>
      <w:r>
        <w:rPr>
          <w:rFonts w:hint="eastAsia"/>
        </w:rPr>
        <w:t>与策略专项研究》</w:t>
      </w:r>
    </w:p>
    <w:p w:rsidR="00D34F2E" w:rsidRDefault="002D3698">
      <w:pPr>
        <w:ind w:firstLine="640"/>
      </w:pPr>
      <w:r>
        <w:rPr>
          <w:rFonts w:hint="eastAsia"/>
        </w:rPr>
        <w:t>新冠肺炎疫情发生以来，</w:t>
      </w:r>
      <w:r>
        <w:rPr>
          <w:rFonts w:hint="eastAsia"/>
        </w:rPr>
        <w:t>全国</w:t>
      </w:r>
      <w:r>
        <w:rPr>
          <w:rFonts w:hint="eastAsia"/>
        </w:rPr>
        <w:t>国资国企按照</w:t>
      </w:r>
      <w:r w:rsidR="00900463">
        <w:rPr>
          <w:rFonts w:hint="eastAsia"/>
        </w:rPr>
        <w:t>中央</w:t>
      </w:r>
      <w:r>
        <w:rPr>
          <w:rFonts w:hint="eastAsia"/>
        </w:rPr>
        <w:t>和各级地方政府的要求，奋勇担当，全力抗“疫”，充分发挥出国有企业抗疫“突击队”</w:t>
      </w:r>
      <w:r w:rsidR="00900463">
        <w:rPr>
          <w:rFonts w:hint="eastAsia"/>
        </w:rPr>
        <w:t>和主力军</w:t>
      </w:r>
      <w:r>
        <w:rPr>
          <w:rFonts w:hint="eastAsia"/>
        </w:rPr>
        <w:t>作用。</w:t>
      </w:r>
      <w:r w:rsidR="00900463">
        <w:rPr>
          <w:rFonts w:hint="eastAsia"/>
        </w:rPr>
        <w:t>但是，</w:t>
      </w:r>
      <w:r>
        <w:rPr>
          <w:rFonts w:hint="eastAsia"/>
        </w:rPr>
        <w:t>抗击新冠肺炎</w:t>
      </w:r>
      <w:bookmarkStart w:id="2" w:name="_GoBack"/>
      <w:bookmarkEnd w:id="2"/>
      <w:r>
        <w:rPr>
          <w:rFonts w:hint="eastAsia"/>
        </w:rPr>
        <w:t>的长期性、复杂性和难度远超预期，不仅对国资国企现有应急管理体系和响应机制提出了新的考验，也暴露出国有资本布局结构不平衡、转型升级步伐慢等一系列值得反思的深层次问题。本课</w:t>
      </w:r>
      <w:r>
        <w:rPr>
          <w:rFonts w:hint="eastAsia"/>
        </w:rPr>
        <w:lastRenderedPageBreak/>
        <w:t>题拟以国资国企抗击疫情为切入点，深入研究国资国企在应急体系建设和应急响</w:t>
      </w:r>
      <w:r>
        <w:rPr>
          <w:rFonts w:hint="eastAsia"/>
        </w:rPr>
        <w:t>应机制方面暴露的问题和存在的不足，对标国内外先进水平，为建立健全国资国企应对重大突发事件的防控体系和运作机制提出对策建议。</w:t>
      </w:r>
    </w:p>
    <w:p w:rsidR="00D34F2E" w:rsidRDefault="002D3698">
      <w:pPr>
        <w:pStyle w:val="2"/>
        <w:ind w:left="643" w:hanging="643"/>
      </w:pPr>
      <w:r>
        <w:rPr>
          <w:rFonts w:hint="eastAsia"/>
        </w:rPr>
        <w:t>《多位一体大监督体系设计与实施研究》</w:t>
      </w:r>
    </w:p>
    <w:p w:rsidR="00D34F2E" w:rsidRDefault="002D3698">
      <w:pPr>
        <w:ind w:firstLine="640"/>
      </w:pPr>
      <w:r>
        <w:rPr>
          <w:rFonts w:hint="eastAsia"/>
        </w:rPr>
        <w:t>加快构建出资人监督工作闭环，加强与审计、纪检监察、巡视等外部监督力量的有效衔接，提升监督合力，是现阶段国资监督的重要改革举措。本课题拟梳理中央及本市国资监督相关改革政策，明确国资监督的最新要求；分析总结市属国资监督体系演变历程，剖析国资监督仍然存在的问题与短板；对标借鉴国内外国资监督先进经验，为构建多位一体大监督体系提出创新思路和对策建议。</w:t>
      </w:r>
    </w:p>
    <w:p w:rsidR="00D34F2E" w:rsidRDefault="002D3698">
      <w:pPr>
        <w:pStyle w:val="2"/>
        <w:ind w:left="643" w:hanging="643"/>
      </w:pPr>
      <w:r>
        <w:rPr>
          <w:rFonts w:hint="eastAsia"/>
        </w:rPr>
        <w:t>《基于</w:t>
      </w:r>
      <w:r>
        <w:rPr>
          <w:rFonts w:hint="eastAsia"/>
        </w:rPr>
        <w:t>全市一盘棋的市、区国资国企联动发展研究》</w:t>
      </w:r>
    </w:p>
    <w:p w:rsidR="00D34F2E" w:rsidRDefault="002D3698">
      <w:pPr>
        <w:ind w:firstLine="640"/>
      </w:pPr>
      <w:r>
        <w:rPr>
          <w:rFonts w:hint="eastAsia"/>
        </w:rPr>
        <w:t>《关于进一步推动构建国资监管大格局有关工作的通知》要求，力争用</w:t>
      </w:r>
      <w:r>
        <w:t>2-3</w:t>
      </w:r>
      <w:r>
        <w:t>年时间推动实现机构职能上下贯通、法规制度协</w:t>
      </w:r>
      <w:r>
        <w:rPr>
          <w:rFonts w:hint="eastAsia"/>
        </w:rPr>
        <w:t>同一致、行权履职规范统一、改革发展统筹有序、党的领导坚强有力、系统合力明显增强，加快形成国资监管一盘棋。本课题通过分析上海市、区国资国企协调联动发展现状，对照最新政策要求，结合案例分析和对比借鉴，研究提出市、区国</w:t>
      </w:r>
      <w:r>
        <w:rPr>
          <w:rFonts w:hint="eastAsia"/>
        </w:rPr>
        <w:lastRenderedPageBreak/>
        <w:t>资国企实现“一盘棋”联动发展的主要突破口、推进路径和创新举措。</w:t>
      </w:r>
    </w:p>
    <w:p w:rsidR="00D34F2E" w:rsidRDefault="002D3698">
      <w:pPr>
        <w:pStyle w:val="2"/>
        <w:ind w:left="643" w:hanging="643"/>
      </w:pPr>
      <w:r>
        <w:rPr>
          <w:rFonts w:hint="eastAsia"/>
        </w:rPr>
        <w:t>《以“管资本”为主高质量发展评价指标体系及目标值研究》</w:t>
      </w:r>
    </w:p>
    <w:p w:rsidR="00D34F2E" w:rsidRDefault="002D3698">
      <w:pPr>
        <w:ind w:firstLine="640"/>
      </w:pPr>
      <w:r>
        <w:rPr>
          <w:rFonts w:hint="eastAsia"/>
        </w:rPr>
        <w:t>党的十八届三中全会以来，国资</w:t>
      </w:r>
      <w:r>
        <w:rPr>
          <w:rFonts w:hint="eastAsia"/>
        </w:rPr>
        <w:t>监管方式正在由“管企业”向“管资本”为主转变。本课题旨在通过明确“管资本”为主的内涵与关键维度，研究制定科学的综合评价指标体系，通过定性、定量地持续评价，全方位衡量向“管资本”转型的成效，</w:t>
      </w:r>
      <w:bookmarkEnd w:id="1"/>
      <w:r>
        <w:rPr>
          <w:rFonts w:hint="eastAsia"/>
        </w:rPr>
        <w:t>更好地推动国资监管职能转变。</w:t>
      </w:r>
    </w:p>
    <w:sectPr w:rsidR="00D34F2E">
      <w:headerReference w:type="even" r:id="rId9"/>
      <w:headerReference w:type="default" r:id="rId10"/>
      <w:footerReference w:type="even" r:id="rId11"/>
      <w:footerReference w:type="default" r:id="rId12"/>
      <w:headerReference w:type="first" r:id="rId13"/>
      <w:footerReference w:type="first" r:id="rId14"/>
      <w:pgSz w:w="11906" w:h="16838"/>
      <w:pgMar w:top="2211" w:right="1701" w:bottom="1701" w:left="1701" w:header="850" w:footer="992" w:gutter="0"/>
      <w:cols w:space="720"/>
      <w:docGrid w:type="lines"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D3698" w:rsidRDefault="002D3698">
      <w:pPr>
        <w:spacing w:line="240" w:lineRule="auto"/>
        <w:ind w:firstLine="640"/>
      </w:pPr>
      <w:r>
        <w:separator/>
      </w:r>
    </w:p>
  </w:endnote>
  <w:endnote w:type="continuationSeparator" w:id="0">
    <w:p w:rsidR="002D3698" w:rsidRDefault="002D3698">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w:altName w:val="Times New Roman"/>
    <w:panose1 w:val="02020603050405020304"/>
    <w:charset w:val="00"/>
    <w:family w:val="roman"/>
    <w:pitch w:val="default"/>
    <w:sig w:usb0="00000000" w:usb1="00000000"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34F2E" w:rsidRDefault="002D3698">
    <w:pPr>
      <w:pStyle w:val="a5"/>
      <w:ind w:firstLine="360"/>
      <w:rPr>
        <w:rStyle w:val="ab"/>
      </w:rPr>
    </w:pPr>
    <w:r>
      <w:fldChar w:fldCharType="begin"/>
    </w:r>
    <w:r>
      <w:rPr>
        <w:rStyle w:val="ab"/>
      </w:rPr>
      <w:instrText xml:space="preserve">PAGE  </w:instrText>
    </w:r>
    <w:r>
      <w:fldChar w:fldCharType="end"/>
    </w:r>
  </w:p>
  <w:p w:rsidR="00D34F2E" w:rsidRDefault="00D34F2E">
    <w:pPr>
      <w:pStyle w:val="a5"/>
      <w:ind w:firstLine="360"/>
    </w:pPr>
  </w:p>
  <w:p w:rsidR="00D34F2E" w:rsidRDefault="00D34F2E">
    <w:pPr>
      <w:ind w:firstLine="64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34F2E" w:rsidRDefault="002D3698">
    <w:pPr>
      <w:pStyle w:val="a5"/>
      <w:ind w:firstLine="360"/>
      <w:rPr>
        <w:rStyle w:val="ab"/>
      </w:rPr>
    </w:pPr>
    <w:r>
      <w:fldChar w:fldCharType="begin"/>
    </w:r>
    <w:r>
      <w:rPr>
        <w:rStyle w:val="ab"/>
      </w:rPr>
      <w:instrText xml:space="preserve">PAGE  </w:instrText>
    </w:r>
    <w:r>
      <w:fldChar w:fldCharType="separate"/>
    </w:r>
    <w:r>
      <w:rPr>
        <w:rStyle w:val="ab"/>
      </w:rPr>
      <w:t>8</w:t>
    </w:r>
    <w:r>
      <w:fldChar w:fldCharType="end"/>
    </w:r>
  </w:p>
  <w:p w:rsidR="00D34F2E" w:rsidRDefault="00D34F2E">
    <w:pPr>
      <w:pStyle w:val="a5"/>
      <w:ind w:firstLine="360"/>
    </w:pPr>
  </w:p>
  <w:p w:rsidR="00D34F2E" w:rsidRDefault="00D34F2E">
    <w:pPr>
      <w:ind w:firstLine="64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34F2E" w:rsidRDefault="00D34F2E">
    <w:pPr>
      <w:pStyle w:val="a5"/>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D3698" w:rsidRDefault="002D3698">
      <w:pPr>
        <w:spacing w:line="240" w:lineRule="auto"/>
        <w:ind w:firstLine="640"/>
      </w:pPr>
      <w:r>
        <w:separator/>
      </w:r>
    </w:p>
  </w:footnote>
  <w:footnote w:type="continuationSeparator" w:id="0">
    <w:p w:rsidR="002D3698" w:rsidRDefault="002D3698">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34F2E" w:rsidRDefault="00D34F2E">
    <w:pPr>
      <w:pStyle w:val="a6"/>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34F2E" w:rsidRDefault="00D34F2E">
    <w:pPr>
      <w:ind w:left="640" w:firstLineChars="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34F2E" w:rsidRDefault="00D34F2E">
    <w:pPr>
      <w:pStyle w:val="a6"/>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79D6D3A"/>
    <w:multiLevelType w:val="multilevel"/>
    <w:tmpl w:val="579D6D3A"/>
    <w:lvl w:ilvl="0">
      <w:start w:val="1"/>
      <w:numFmt w:val="decimal"/>
      <w:pStyle w:val="2"/>
      <w:lvlText w:val="%1、"/>
      <w:lvlJc w:val="left"/>
      <w:pPr>
        <w:ind w:left="620" w:hanging="420"/>
      </w:pPr>
      <w:rPr>
        <w:rFonts w:ascii="Times" w:eastAsia="仿宋_GB2312" w:hAnsi="Times" w:hint="default"/>
        <w:b w:val="0"/>
        <w:i w:val="0"/>
        <w:sz w:val="32"/>
      </w:rPr>
    </w:lvl>
    <w:lvl w:ilvl="1">
      <w:start w:val="1"/>
      <w:numFmt w:val="lowerLetter"/>
      <w:lvlText w:val="%2)"/>
      <w:lvlJc w:val="left"/>
      <w:pPr>
        <w:ind w:left="1040" w:hanging="420"/>
      </w:pPr>
    </w:lvl>
    <w:lvl w:ilvl="2">
      <w:start w:val="1"/>
      <w:numFmt w:val="lowerRoman"/>
      <w:lvlText w:val="%3."/>
      <w:lvlJc w:val="right"/>
      <w:pPr>
        <w:ind w:left="1460" w:hanging="420"/>
      </w:pPr>
    </w:lvl>
    <w:lvl w:ilvl="3">
      <w:start w:val="1"/>
      <w:numFmt w:val="decimal"/>
      <w:lvlText w:val="%4."/>
      <w:lvlJc w:val="left"/>
      <w:pPr>
        <w:ind w:left="1880" w:hanging="420"/>
      </w:pPr>
    </w:lvl>
    <w:lvl w:ilvl="4">
      <w:start w:val="1"/>
      <w:numFmt w:val="lowerLetter"/>
      <w:lvlText w:val="%5)"/>
      <w:lvlJc w:val="left"/>
      <w:pPr>
        <w:ind w:left="2300" w:hanging="420"/>
      </w:pPr>
    </w:lvl>
    <w:lvl w:ilvl="5">
      <w:start w:val="1"/>
      <w:numFmt w:val="lowerRoman"/>
      <w:lvlText w:val="%6."/>
      <w:lvlJc w:val="right"/>
      <w:pPr>
        <w:ind w:left="2720" w:hanging="420"/>
      </w:pPr>
    </w:lvl>
    <w:lvl w:ilvl="6">
      <w:start w:val="1"/>
      <w:numFmt w:val="decimal"/>
      <w:lvlText w:val="%7."/>
      <w:lvlJc w:val="left"/>
      <w:pPr>
        <w:ind w:left="3140" w:hanging="420"/>
      </w:pPr>
    </w:lvl>
    <w:lvl w:ilvl="7">
      <w:start w:val="1"/>
      <w:numFmt w:val="lowerLetter"/>
      <w:lvlText w:val="%8)"/>
      <w:lvlJc w:val="left"/>
      <w:pPr>
        <w:ind w:left="3560" w:hanging="420"/>
      </w:pPr>
    </w:lvl>
    <w:lvl w:ilvl="8">
      <w:start w:val="1"/>
      <w:numFmt w:val="lowerRoman"/>
      <w:lvlText w:val="%9."/>
      <w:lvlJc w:val="right"/>
      <w:pPr>
        <w:ind w:left="39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embedSystemFonts/>
  <w:bordersDoNotSurroundHeader/>
  <w:bordersDoNotSurroundFooter/>
  <w:proofState w:spelling="clean"/>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9643E52"/>
    <w:rsid w:val="000071C7"/>
    <w:rsid w:val="000367F4"/>
    <w:rsid w:val="00072398"/>
    <w:rsid w:val="00102108"/>
    <w:rsid w:val="001037BA"/>
    <w:rsid w:val="001349E2"/>
    <w:rsid w:val="001B4B45"/>
    <w:rsid w:val="001D4C3E"/>
    <w:rsid w:val="001F0FCC"/>
    <w:rsid w:val="002067E2"/>
    <w:rsid w:val="00243FCB"/>
    <w:rsid w:val="002903C9"/>
    <w:rsid w:val="00294DDC"/>
    <w:rsid w:val="002D3698"/>
    <w:rsid w:val="002D56FD"/>
    <w:rsid w:val="0035129B"/>
    <w:rsid w:val="0037111C"/>
    <w:rsid w:val="00374376"/>
    <w:rsid w:val="00395764"/>
    <w:rsid w:val="003C5BD4"/>
    <w:rsid w:val="00404E18"/>
    <w:rsid w:val="00454985"/>
    <w:rsid w:val="004921D4"/>
    <w:rsid w:val="0055007A"/>
    <w:rsid w:val="005576EC"/>
    <w:rsid w:val="005767E9"/>
    <w:rsid w:val="005F63FF"/>
    <w:rsid w:val="00690567"/>
    <w:rsid w:val="006B3477"/>
    <w:rsid w:val="00704ADB"/>
    <w:rsid w:val="007204DA"/>
    <w:rsid w:val="00744760"/>
    <w:rsid w:val="00762BAE"/>
    <w:rsid w:val="007A25D2"/>
    <w:rsid w:val="007C1C15"/>
    <w:rsid w:val="0083558C"/>
    <w:rsid w:val="008C1718"/>
    <w:rsid w:val="008D7F8D"/>
    <w:rsid w:val="008F48F9"/>
    <w:rsid w:val="00900463"/>
    <w:rsid w:val="00906AE9"/>
    <w:rsid w:val="009253B5"/>
    <w:rsid w:val="0096315F"/>
    <w:rsid w:val="009633B6"/>
    <w:rsid w:val="009F5134"/>
    <w:rsid w:val="00A05339"/>
    <w:rsid w:val="00A10EFC"/>
    <w:rsid w:val="00A309E8"/>
    <w:rsid w:val="00A36728"/>
    <w:rsid w:val="00A459E3"/>
    <w:rsid w:val="00A50A37"/>
    <w:rsid w:val="00A90CB1"/>
    <w:rsid w:val="00AA2F3E"/>
    <w:rsid w:val="00AE4F35"/>
    <w:rsid w:val="00B1641C"/>
    <w:rsid w:val="00B32CC1"/>
    <w:rsid w:val="00B670AC"/>
    <w:rsid w:val="00B91061"/>
    <w:rsid w:val="00BC0290"/>
    <w:rsid w:val="00BC33E1"/>
    <w:rsid w:val="00C356DB"/>
    <w:rsid w:val="00C542A8"/>
    <w:rsid w:val="00C556A1"/>
    <w:rsid w:val="00C76DBA"/>
    <w:rsid w:val="00C83954"/>
    <w:rsid w:val="00CA2027"/>
    <w:rsid w:val="00CF6FA4"/>
    <w:rsid w:val="00D22DA9"/>
    <w:rsid w:val="00D25C20"/>
    <w:rsid w:val="00D34F2E"/>
    <w:rsid w:val="00D80483"/>
    <w:rsid w:val="00DD0218"/>
    <w:rsid w:val="00DD0BDA"/>
    <w:rsid w:val="00DD305F"/>
    <w:rsid w:val="00E72287"/>
    <w:rsid w:val="00E83BB8"/>
    <w:rsid w:val="00EA40A6"/>
    <w:rsid w:val="00EA647E"/>
    <w:rsid w:val="00EC7679"/>
    <w:rsid w:val="00EE3D5E"/>
    <w:rsid w:val="00F00A07"/>
    <w:rsid w:val="00F4209F"/>
    <w:rsid w:val="00F42DF5"/>
    <w:rsid w:val="00F45E98"/>
    <w:rsid w:val="00F46AA4"/>
    <w:rsid w:val="00F6205F"/>
    <w:rsid w:val="00F77654"/>
    <w:rsid w:val="00F90014"/>
    <w:rsid w:val="00F913ED"/>
    <w:rsid w:val="01EA03D5"/>
    <w:rsid w:val="35FC4DD9"/>
    <w:rsid w:val="45716C56"/>
    <w:rsid w:val="4E8C27EA"/>
    <w:rsid w:val="52F60A8E"/>
    <w:rsid w:val="5574412C"/>
    <w:rsid w:val="69643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2A8498"/>
  <w15:docId w15:val="{2F37C95E-66B2-4FC4-922C-F43C40F05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ind w:firstLineChars="200" w:firstLine="200"/>
      <w:jc w:val="both"/>
    </w:pPr>
    <w:rPr>
      <w:rFonts w:ascii="仿宋_GB2312" w:eastAsia="仿宋_GB2312" w:hAnsi="仿宋_GB2312"/>
      <w:sz w:val="32"/>
    </w:rPr>
  </w:style>
  <w:style w:type="paragraph" w:styleId="1">
    <w:name w:val="heading 1"/>
    <w:basedOn w:val="a"/>
    <w:next w:val="a"/>
    <w:link w:val="10"/>
    <w:qFormat/>
    <w:pPr>
      <w:keepNext/>
      <w:keepLines/>
      <w:ind w:firstLineChars="0" w:firstLine="0"/>
      <w:jc w:val="center"/>
      <w:outlineLvl w:val="0"/>
    </w:pPr>
    <w:rPr>
      <w:rFonts w:eastAsia="华文中宋"/>
      <w:b/>
      <w:bCs/>
      <w:kern w:val="44"/>
      <w:sz w:val="44"/>
      <w:szCs w:val="44"/>
    </w:rPr>
  </w:style>
  <w:style w:type="paragraph" w:styleId="2">
    <w:name w:val="heading 2"/>
    <w:basedOn w:val="a"/>
    <w:next w:val="a"/>
    <w:link w:val="20"/>
    <w:unhideWhenUsed/>
    <w:qFormat/>
    <w:pPr>
      <w:keepNext/>
      <w:keepLines/>
      <w:numPr>
        <w:numId w:val="1"/>
      </w:numPr>
      <w:ind w:firstLineChars="0" w:firstLine="0"/>
      <w:outlineLvl w:val="1"/>
    </w:pPr>
    <w:rPr>
      <w:rFonts w:eastAsia="黑体" w:cstheme="majorBidi"/>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pPr>
      <w:ind w:leftChars="400" w:left="840"/>
    </w:pPr>
  </w:style>
  <w:style w:type="paragraph" w:styleId="a3">
    <w:name w:val="Balloon Text"/>
    <w:basedOn w:val="a"/>
    <w:link w:val="a4"/>
    <w:rPr>
      <w:sz w:val="18"/>
      <w:szCs w:val="18"/>
    </w:rPr>
  </w:style>
  <w:style w:type="paragraph" w:styleId="a5">
    <w:name w:val="footer"/>
    <w:basedOn w:val="a"/>
    <w:pPr>
      <w:tabs>
        <w:tab w:val="center" w:pos="4153"/>
        <w:tab w:val="right" w:pos="8306"/>
      </w:tabs>
      <w:snapToGrid w:val="0"/>
      <w:jc w:val="left"/>
    </w:pPr>
    <w:rPr>
      <w:sz w:val="18"/>
      <w:szCs w:val="18"/>
    </w:rPr>
  </w:style>
  <w:style w:type="paragraph" w:styleId="a6">
    <w:name w:val="header"/>
    <w:basedOn w:val="a"/>
    <w:link w:val="a7"/>
    <w:pPr>
      <w:pBdr>
        <w:bottom w:val="single" w:sz="6" w:space="1" w:color="auto"/>
      </w:pBdr>
      <w:tabs>
        <w:tab w:val="center" w:pos="4153"/>
        <w:tab w:val="right" w:pos="8306"/>
      </w:tabs>
      <w:snapToGrid w:val="0"/>
      <w:jc w:val="center"/>
    </w:pPr>
    <w:rPr>
      <w:sz w:val="18"/>
      <w:szCs w:val="18"/>
    </w:rPr>
  </w:style>
  <w:style w:type="paragraph" w:styleId="a8">
    <w:name w:val="Normal (Web)"/>
    <w:rPr>
      <w:sz w:val="24"/>
      <w:szCs w:val="22"/>
    </w:rPr>
  </w:style>
  <w:style w:type="paragraph" w:styleId="a9">
    <w:name w:val="Title"/>
    <w:basedOn w:val="a"/>
    <w:next w:val="a"/>
    <w:link w:val="aa"/>
    <w:qFormat/>
    <w:pPr>
      <w:spacing w:before="240" w:after="60"/>
      <w:jc w:val="center"/>
      <w:outlineLvl w:val="0"/>
    </w:pPr>
    <w:rPr>
      <w:rFonts w:asciiTheme="majorHAnsi" w:eastAsiaTheme="majorEastAsia" w:hAnsiTheme="majorHAnsi" w:cstheme="majorBidi"/>
      <w:b/>
      <w:bCs/>
      <w:szCs w:val="32"/>
    </w:rPr>
  </w:style>
  <w:style w:type="character" w:styleId="ab">
    <w:name w:val="page number"/>
    <w:basedOn w:val="a0"/>
  </w:style>
  <w:style w:type="character" w:customStyle="1" w:styleId="a7">
    <w:name w:val="页眉 字符"/>
    <w:basedOn w:val="a0"/>
    <w:link w:val="a6"/>
    <w:rPr>
      <w:kern w:val="2"/>
      <w:sz w:val="18"/>
      <w:szCs w:val="18"/>
    </w:rPr>
  </w:style>
  <w:style w:type="character" w:customStyle="1" w:styleId="a4">
    <w:name w:val="批注框文本 字符"/>
    <w:basedOn w:val="a0"/>
    <w:link w:val="a3"/>
    <w:rPr>
      <w:kern w:val="2"/>
      <w:sz w:val="18"/>
      <w:szCs w:val="18"/>
    </w:rPr>
  </w:style>
  <w:style w:type="character" w:customStyle="1" w:styleId="10">
    <w:name w:val="标题 1 字符"/>
    <w:basedOn w:val="a0"/>
    <w:link w:val="1"/>
    <w:rPr>
      <w:rFonts w:ascii="仿宋_GB2312" w:eastAsia="华文中宋" w:hAnsi="仿宋_GB2312"/>
      <w:b/>
      <w:bCs/>
      <w:kern w:val="44"/>
      <w:sz w:val="44"/>
      <w:szCs w:val="44"/>
    </w:rPr>
  </w:style>
  <w:style w:type="character" w:customStyle="1" w:styleId="aa">
    <w:name w:val="标题 字符"/>
    <w:basedOn w:val="a0"/>
    <w:link w:val="a9"/>
    <w:rPr>
      <w:rFonts w:asciiTheme="majorHAnsi" w:eastAsiaTheme="majorEastAsia" w:hAnsiTheme="majorHAnsi" w:cstheme="majorBidi"/>
      <w:b/>
      <w:bCs/>
      <w:sz w:val="32"/>
      <w:szCs w:val="32"/>
    </w:rPr>
  </w:style>
  <w:style w:type="character" w:customStyle="1" w:styleId="20">
    <w:name w:val="标题 2 字符"/>
    <w:basedOn w:val="a0"/>
    <w:link w:val="2"/>
    <w:rPr>
      <w:rFonts w:ascii="仿宋_GB2312" w:eastAsia="黑体" w:hAnsi="仿宋_GB2312" w:cstheme="majorBidi"/>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0F31FDD-A761-40B2-B7AE-DFEBACBA5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480</Words>
  <Characters>2742</Characters>
  <Application>Microsoft Office Word</Application>
  <DocSecurity>0</DocSecurity>
  <Lines>22</Lines>
  <Paragraphs>6</Paragraphs>
  <ScaleCrop>false</ScaleCrop>
  <Company/>
  <LinksUpToDate>false</LinksUpToDate>
  <CharactersWithSpaces>3216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毕青霞</dc:creator>
  <cp:lastModifiedBy>wang shu</cp:lastModifiedBy>
  <cp:revision>25</cp:revision>
  <dcterms:created xsi:type="dcterms:W3CDTF">2020-02-19T04:27:00Z</dcterms:created>
  <dcterms:modified xsi:type="dcterms:W3CDTF">2020-02-27T06:26:00Z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